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800"/>
      </w:tblGrid>
      <w:tr w:rsidR="00B3290C" w:rsidRPr="000F20AD" w:rsidTr="0018490E">
        <w:tc>
          <w:tcPr>
            <w:tcW w:w="3600" w:type="dxa"/>
            <w:vAlign w:val="bottom"/>
          </w:tcPr>
          <w:p w:rsidR="00B3290C" w:rsidRPr="000F20AD" w:rsidRDefault="00B3290C" w:rsidP="0018490E">
            <w:pPr>
              <w:spacing w:after="0" w:line="240" w:lineRule="auto"/>
              <w:outlineLvl w:val="0"/>
              <w:rPr>
                <w:b/>
              </w:rPr>
            </w:pPr>
            <w:r w:rsidRPr="000F20AD">
              <w:rPr>
                <w:i/>
              </w:rPr>
              <w:t>Due October 10, 201</w:t>
            </w:r>
            <w:r>
              <w:rPr>
                <w:i/>
              </w:rPr>
              <w:t>3</w:t>
            </w:r>
          </w:p>
        </w:tc>
        <w:tc>
          <w:tcPr>
            <w:tcW w:w="10800" w:type="dxa"/>
            <w:vAlign w:val="bottom"/>
          </w:tcPr>
          <w:p w:rsidR="00B3290C" w:rsidRPr="000F20AD" w:rsidRDefault="00B3290C" w:rsidP="0018490E">
            <w:pPr>
              <w:tabs>
                <w:tab w:val="left" w:pos="8640"/>
                <w:tab w:val="right" w:pos="14400"/>
              </w:tabs>
              <w:spacing w:after="0" w:line="240" w:lineRule="auto"/>
              <w:outlineLvl w:val="0"/>
              <w:rPr>
                <w:u w:val="single"/>
              </w:rPr>
            </w:pPr>
            <w:r w:rsidRPr="000F20AD">
              <w:rPr>
                <w:b/>
              </w:rPr>
              <w:t>College Name</w:t>
            </w:r>
            <w:r w:rsidRPr="000F20AD">
              <w:t xml:space="preserve">:  </w:t>
            </w:r>
            <w:r w:rsidRPr="00A14AF3">
              <w:rPr>
                <w:u w:val="single"/>
              </w:rPr>
              <w:t>Grossmont College</w:t>
            </w:r>
          </w:p>
        </w:tc>
      </w:tr>
    </w:tbl>
    <w:p w:rsidR="00B3290C" w:rsidRDefault="00B3290C" w:rsidP="00B3290C">
      <w:pPr>
        <w:spacing w:after="0" w:line="240" w:lineRule="auto"/>
        <w:rPr>
          <w:b/>
        </w:rPr>
      </w:pPr>
    </w:p>
    <w:p w:rsidR="00B3290C" w:rsidRDefault="00B3290C" w:rsidP="00B3290C">
      <w:pPr>
        <w:spacing w:after="0" w:line="240" w:lineRule="auto"/>
        <w:rPr>
          <w:b/>
        </w:rPr>
      </w:pPr>
      <w:r>
        <w:rPr>
          <w:b/>
        </w:rPr>
        <w:t>REFER TO LAST YEAR’S FORM.</w:t>
      </w:r>
    </w:p>
    <w:p w:rsidR="00B3290C" w:rsidRDefault="00B3290C" w:rsidP="00B3290C">
      <w:pPr>
        <w:spacing w:after="0" w:line="240" w:lineRule="auto"/>
        <w:rPr>
          <w:b/>
        </w:rPr>
      </w:pPr>
    </w:p>
    <w:p w:rsidR="00B3290C" w:rsidRDefault="00B3290C" w:rsidP="00B3290C">
      <w:pPr>
        <w:spacing w:after="0" w:line="240" w:lineRule="auto"/>
        <w:rPr>
          <w:b/>
        </w:rPr>
      </w:pPr>
      <w:r>
        <w:rPr>
          <w:b/>
        </w:rPr>
        <w:t>Insert your long-term goals from the report you submitted last year.</w:t>
      </w:r>
    </w:p>
    <w:p w:rsidR="00B3290C" w:rsidRDefault="00B3290C" w:rsidP="00B3290C">
      <w:pPr>
        <w:spacing w:after="0" w:line="240" w:lineRule="auto"/>
        <w:rPr>
          <w:b/>
        </w:rPr>
      </w:pPr>
    </w:p>
    <w:p w:rsidR="00B3290C" w:rsidRDefault="00B3290C" w:rsidP="00B3290C">
      <w:pPr>
        <w:spacing w:after="0" w:line="240" w:lineRule="auto"/>
        <w:rPr>
          <w:b/>
        </w:rPr>
      </w:pPr>
      <w:r>
        <w:rPr>
          <w:b/>
        </w:rPr>
        <w:t>Insert your 2013-2014 funds allocated to each goal. The sum of the right column should be your total allocation.</w:t>
      </w:r>
    </w:p>
    <w:p w:rsidR="00B3290C" w:rsidRPr="000D4DBD" w:rsidRDefault="00B3290C" w:rsidP="00B3290C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9360"/>
        <w:gridCol w:w="2340"/>
      </w:tblGrid>
      <w:tr w:rsidR="00B3290C" w:rsidRPr="00532DE5" w:rsidTr="0018490E"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3290C" w:rsidRPr="00532DE5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 ID</w:t>
            </w:r>
          </w:p>
        </w:tc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3290C" w:rsidRPr="00532DE5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Long-Term Goal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B3290C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2013-2014 Funds </w:t>
            </w:r>
          </w:p>
          <w:p w:rsidR="00B3290C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Allocated to this Goal</w:t>
            </w:r>
          </w:p>
        </w:tc>
      </w:tr>
      <w:tr w:rsidR="00B3290C" w:rsidRPr="00532DE5" w:rsidTr="0018490E">
        <w:trPr>
          <w:trHeight w:val="720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left="115" w:right="115"/>
              <w:jc w:val="center"/>
              <w:rPr>
                <w:sz w:val="20"/>
              </w:rPr>
            </w:pPr>
          </w:p>
          <w:p w:rsidR="00B3290C" w:rsidRPr="00532DE5" w:rsidRDefault="00B3290C" w:rsidP="0018490E">
            <w:pPr>
              <w:spacing w:after="0" w:line="240" w:lineRule="auto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9360" w:type="dxa"/>
            <w:tcBorders>
              <w:top w:val="single" w:sz="12" w:space="0" w:color="auto"/>
              <w:bottom w:val="single" w:sz="4" w:space="0" w:color="auto"/>
            </w:tcBorders>
          </w:tcPr>
          <w:p w:rsidR="00B3290C" w:rsidRPr="00FE2E40" w:rsidRDefault="00B3290C" w:rsidP="00184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E40">
              <w:rPr>
                <w:rFonts w:ascii="Times New Roman" w:hAnsi="Times New Roman"/>
                <w:b/>
                <w:sz w:val="24"/>
                <w:szCs w:val="24"/>
              </w:rPr>
              <w:t>Evaluate and improve assessment procedures and monitor results in order to ensure appropriate student placement.</w:t>
            </w:r>
          </w:p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B3290C" w:rsidRPr="00532DE5" w:rsidTr="0018490E">
        <w:trPr>
          <w:trHeight w:val="720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left="115" w:right="115"/>
              <w:jc w:val="center"/>
              <w:rPr>
                <w:sz w:val="20"/>
              </w:rPr>
            </w:pPr>
          </w:p>
          <w:p w:rsidR="00B3290C" w:rsidRPr="00532DE5" w:rsidRDefault="00B3290C" w:rsidP="0018490E">
            <w:pPr>
              <w:spacing w:after="0" w:line="240" w:lineRule="auto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9360" w:type="dxa"/>
            <w:tcBorders>
              <w:top w:val="single" w:sz="4" w:space="0" w:color="auto"/>
            </w:tcBorders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Improve</w:t>
            </w:r>
            <w:r w:rsidRPr="00FE2E40">
              <w:rPr>
                <w:rFonts w:ascii="Times New Roman" w:hAnsi="Times New Roman"/>
                <w:b/>
                <w:sz w:val="24"/>
                <w:szCs w:val="24"/>
              </w:rPr>
              <w:t xml:space="preserve"> success, retention, and persistence for historically underrepresented populations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t>67115.50</w:t>
            </w:r>
          </w:p>
        </w:tc>
      </w:tr>
      <w:tr w:rsidR="00B3290C" w:rsidRPr="00532DE5" w:rsidTr="0018490E">
        <w:trPr>
          <w:trHeight w:val="720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left="115" w:right="115"/>
              <w:jc w:val="center"/>
              <w:rPr>
                <w:sz w:val="20"/>
              </w:rPr>
            </w:pPr>
          </w:p>
          <w:p w:rsidR="00B3290C" w:rsidRPr="00532DE5" w:rsidRDefault="00B3290C" w:rsidP="0018490E">
            <w:pPr>
              <w:spacing w:after="0" w:line="240" w:lineRule="auto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9360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 w:rsidRPr="00FE2E40">
              <w:rPr>
                <w:rFonts w:ascii="Times New Roman" w:hAnsi="Times New Roman"/>
                <w:b/>
                <w:sz w:val="24"/>
                <w:szCs w:val="24"/>
              </w:rPr>
              <w:t>Increase the percentage of developmental students who succeed in a subsequent transfer-level course</w:t>
            </w:r>
          </w:p>
        </w:tc>
        <w:tc>
          <w:tcPr>
            <w:tcW w:w="2340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t>67115.50</w:t>
            </w:r>
          </w:p>
        </w:tc>
      </w:tr>
      <w:tr w:rsidR="00B3290C" w:rsidRPr="00532DE5" w:rsidTr="0018490E">
        <w:trPr>
          <w:trHeight w:val="548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3290C" w:rsidRPr="00C77666" w:rsidRDefault="00B3290C" w:rsidP="0018490E">
            <w:pPr>
              <w:spacing w:after="0" w:line="240" w:lineRule="auto"/>
              <w:ind w:left="115" w:right="115"/>
              <w:rPr>
                <w:b/>
                <w:sz w:val="20"/>
              </w:rPr>
            </w:pPr>
          </w:p>
        </w:tc>
        <w:tc>
          <w:tcPr>
            <w:tcW w:w="9360" w:type="dxa"/>
          </w:tcPr>
          <w:p w:rsidR="00B3290C" w:rsidRPr="00C77666" w:rsidRDefault="00B3290C" w:rsidP="0018490E">
            <w:pPr>
              <w:spacing w:before="120" w:after="120" w:line="240" w:lineRule="auto"/>
              <w:ind w:left="115" w:right="115"/>
              <w:jc w:val="right"/>
              <w:rPr>
                <w:b/>
                <w:sz w:val="20"/>
              </w:rPr>
            </w:pPr>
            <w:r w:rsidRPr="00C77666">
              <w:rPr>
                <w:b/>
                <w:sz w:val="20"/>
              </w:rPr>
              <w:t>TOTAL ALLOCATION:</w:t>
            </w:r>
          </w:p>
        </w:tc>
        <w:tc>
          <w:tcPr>
            <w:tcW w:w="2340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t>139231.00</w:t>
            </w:r>
          </w:p>
        </w:tc>
      </w:tr>
    </w:tbl>
    <w:p w:rsidR="00B3290C" w:rsidRPr="00501324" w:rsidRDefault="00B3290C" w:rsidP="00B3290C">
      <w:pPr>
        <w:tabs>
          <w:tab w:val="right" w:pos="7920"/>
          <w:tab w:val="left" w:pos="10800"/>
          <w:tab w:val="right" w:pos="14400"/>
        </w:tabs>
        <w:spacing w:after="0" w:line="240" w:lineRule="auto"/>
        <w:rPr>
          <w:u w:val="single"/>
        </w:rPr>
      </w:pPr>
    </w:p>
    <w:p w:rsidR="00B3290C" w:rsidRDefault="00B3290C" w:rsidP="00B3290C">
      <w:pPr>
        <w:pStyle w:val="Default"/>
        <w:rPr>
          <w:rFonts w:asciiTheme="minorHAnsi" w:hAnsiTheme="minorHAnsi"/>
          <w:sz w:val="18"/>
          <w:szCs w:val="18"/>
        </w:rPr>
      </w:pPr>
    </w:p>
    <w:p w:rsidR="00B3290C" w:rsidRDefault="00B3290C" w:rsidP="00B3290C">
      <w:pPr>
        <w:pStyle w:val="Default"/>
        <w:rPr>
          <w:rFonts w:asciiTheme="minorHAnsi" w:hAnsiTheme="minorHAnsi"/>
          <w:sz w:val="18"/>
          <w:szCs w:val="18"/>
        </w:rPr>
      </w:pPr>
    </w:p>
    <w:p w:rsidR="00B3290C" w:rsidRPr="006402C9" w:rsidRDefault="00B3290C" w:rsidP="00B3290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402C9">
        <w:rPr>
          <w:rFonts w:asciiTheme="minorHAnsi" w:hAnsiTheme="minorHAnsi"/>
          <w:b/>
          <w:sz w:val="22"/>
          <w:szCs w:val="22"/>
        </w:rPr>
        <w:t xml:space="preserve">*** PLEASE </w:t>
      </w:r>
      <w:r>
        <w:rPr>
          <w:rFonts w:asciiTheme="minorHAnsi" w:hAnsiTheme="minorHAnsi"/>
          <w:b/>
          <w:sz w:val="22"/>
          <w:szCs w:val="22"/>
        </w:rPr>
        <w:t xml:space="preserve">BE SURE TO </w:t>
      </w:r>
      <w:r w:rsidRPr="006402C9">
        <w:rPr>
          <w:rFonts w:asciiTheme="minorHAnsi" w:hAnsiTheme="minorHAnsi"/>
          <w:b/>
          <w:sz w:val="22"/>
          <w:szCs w:val="22"/>
        </w:rPr>
        <w:t>CHECK THE ARITHMETIC BEFORE SIGNING!!</w:t>
      </w:r>
    </w:p>
    <w:p w:rsidR="00B3290C" w:rsidRDefault="00B3290C" w:rsidP="00B3290C">
      <w:pPr>
        <w:pStyle w:val="Default"/>
        <w:rPr>
          <w:rFonts w:asciiTheme="minorHAnsi" w:hAnsiTheme="minorHAnsi"/>
          <w:sz w:val="18"/>
          <w:szCs w:val="18"/>
        </w:rPr>
      </w:pPr>
    </w:p>
    <w:p w:rsidR="00B3290C" w:rsidRDefault="00B3290C" w:rsidP="00B3290C">
      <w:pPr>
        <w:tabs>
          <w:tab w:val="right" w:pos="7920"/>
          <w:tab w:val="left" w:pos="10800"/>
          <w:tab w:val="right" w:pos="13680"/>
        </w:tabs>
        <w:spacing w:after="0" w:line="240" w:lineRule="auto"/>
      </w:pPr>
    </w:p>
    <w:p w:rsidR="00B3290C" w:rsidRDefault="00B3290C" w:rsidP="00B3290C">
      <w:pPr>
        <w:tabs>
          <w:tab w:val="right" w:pos="7920"/>
          <w:tab w:val="left" w:pos="10800"/>
          <w:tab w:val="right" w:pos="13680"/>
        </w:tabs>
        <w:spacing w:after="0" w:line="240" w:lineRule="auto"/>
      </w:pPr>
      <w:r>
        <w:t xml:space="preserve">                                ______________________________      ___________        ________________________________        ___________</w:t>
      </w:r>
    </w:p>
    <w:p w:rsidR="00B3290C" w:rsidRDefault="00B3290C" w:rsidP="00B3290C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B7587">
        <w:rPr>
          <w:sz w:val="18"/>
          <w:szCs w:val="18"/>
        </w:rPr>
        <w:tab/>
        <w:t>Signature</w:t>
      </w:r>
      <w:r>
        <w:rPr>
          <w:sz w:val="18"/>
          <w:szCs w:val="18"/>
        </w:rPr>
        <w:t xml:space="preserve">, Chief Executive Officer      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 xml:space="preserve">Date                    </w:t>
      </w:r>
      <w:r w:rsidRPr="004B7587">
        <w:rPr>
          <w:sz w:val="18"/>
          <w:szCs w:val="18"/>
        </w:rPr>
        <w:tab/>
        <w:t>Signature, Aca</w:t>
      </w:r>
      <w:r>
        <w:rPr>
          <w:sz w:val="18"/>
          <w:szCs w:val="18"/>
        </w:rPr>
        <w:t>demic Senate President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>Date</w:t>
      </w:r>
    </w:p>
    <w:p w:rsidR="00B3290C" w:rsidRDefault="00B3290C" w:rsidP="00B3290C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3290C" w:rsidRDefault="00B3290C" w:rsidP="00B3290C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3290C" w:rsidRDefault="00B3290C" w:rsidP="00B3290C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3290C" w:rsidRDefault="00B3290C" w:rsidP="00B3290C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3290C" w:rsidRDefault="00B3290C" w:rsidP="00B3290C">
      <w:pPr>
        <w:tabs>
          <w:tab w:val="right" w:pos="7920"/>
          <w:tab w:val="left" w:pos="10800"/>
          <w:tab w:val="right" w:pos="13680"/>
        </w:tabs>
        <w:spacing w:after="0" w:line="240" w:lineRule="auto"/>
      </w:pPr>
      <w:r>
        <w:t xml:space="preserve">                                ______________________________      ___________        ________________________________        ___________</w:t>
      </w:r>
    </w:p>
    <w:p w:rsidR="00B3290C" w:rsidRDefault="00B3290C" w:rsidP="00B3290C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 w:line="240" w:lineRule="auto"/>
        <w:rPr>
          <w:sz w:val="18"/>
          <w:szCs w:val="18"/>
        </w:rPr>
      </w:pPr>
      <w:r w:rsidRPr="004B7587">
        <w:rPr>
          <w:sz w:val="18"/>
          <w:szCs w:val="18"/>
        </w:rPr>
        <w:tab/>
        <w:t>Signature</w:t>
      </w:r>
      <w:r>
        <w:rPr>
          <w:sz w:val="18"/>
          <w:szCs w:val="18"/>
        </w:rPr>
        <w:t xml:space="preserve">, Chief Instructional Officer      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 xml:space="preserve">Date                    </w:t>
      </w:r>
      <w:r w:rsidRPr="004B7587">
        <w:rPr>
          <w:sz w:val="18"/>
          <w:szCs w:val="18"/>
        </w:rPr>
        <w:tab/>
        <w:t xml:space="preserve">Signature, </w:t>
      </w:r>
      <w:r>
        <w:rPr>
          <w:sz w:val="18"/>
          <w:szCs w:val="18"/>
        </w:rPr>
        <w:t>Chief Student Services Officer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>Date</w:t>
      </w:r>
    </w:p>
    <w:p w:rsidR="00B3290C" w:rsidRPr="001B5964" w:rsidRDefault="00B3290C" w:rsidP="00B3290C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 w:line="240" w:lineRule="auto"/>
        <w:rPr>
          <w:rFonts w:ascii="Arial" w:hAnsi="Arial" w:cs="Arial"/>
          <w:sz w:val="18"/>
          <w:szCs w:val="18"/>
        </w:rPr>
        <w:sectPr w:rsidR="00B3290C" w:rsidRPr="001B5964" w:rsidSect="008E0C60">
          <w:headerReference w:type="even" r:id="rId5"/>
          <w:headerReference w:type="default" r:id="rId6"/>
          <w:headerReference w:type="first" r:id="rId7"/>
          <w:footerReference w:type="first" r:id="rId8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B3290C" w:rsidRPr="00907144" w:rsidRDefault="00B3290C" w:rsidP="00B3290C">
      <w:pPr>
        <w:jc w:val="center"/>
        <w:rPr>
          <w:b/>
          <w:color w:val="2C5DA6"/>
        </w:rPr>
      </w:pPr>
      <w:r w:rsidRPr="00907144">
        <w:rPr>
          <w:b/>
          <w:color w:val="2C5DA6"/>
        </w:rPr>
        <w:lastRenderedPageBreak/>
        <w:t xml:space="preserve"> [4b] 2013-2014 ESL/Basic Skills Action Plan</w:t>
      </w:r>
    </w:p>
    <w:p w:rsidR="00B3290C" w:rsidRPr="00BE5135" w:rsidRDefault="00B3290C" w:rsidP="00B3290C">
      <w:pPr>
        <w:spacing w:after="0" w:line="240" w:lineRule="auto"/>
        <w:jc w:val="center"/>
        <w:outlineLvl w:val="0"/>
        <w:rPr>
          <w:b/>
        </w:rPr>
      </w:pPr>
    </w:p>
    <w:tbl>
      <w:tblPr>
        <w:tblW w:w="1440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800"/>
      </w:tblGrid>
      <w:tr w:rsidR="00B3290C" w:rsidRPr="000F20AD" w:rsidTr="0018490E">
        <w:tc>
          <w:tcPr>
            <w:tcW w:w="3600" w:type="dxa"/>
            <w:vAlign w:val="bottom"/>
          </w:tcPr>
          <w:p w:rsidR="00B3290C" w:rsidRPr="000F20AD" w:rsidRDefault="00B3290C" w:rsidP="0018490E">
            <w:pPr>
              <w:spacing w:after="0" w:line="240" w:lineRule="auto"/>
              <w:outlineLvl w:val="0"/>
              <w:rPr>
                <w:b/>
              </w:rPr>
            </w:pPr>
            <w:r w:rsidRPr="000F20AD">
              <w:t xml:space="preserve"> </w:t>
            </w:r>
            <w:r w:rsidRPr="000F20AD">
              <w:rPr>
                <w:i/>
              </w:rPr>
              <w:t>Due October 10, 201</w:t>
            </w:r>
            <w:r>
              <w:rPr>
                <w:i/>
              </w:rPr>
              <w:t>3</w:t>
            </w:r>
          </w:p>
        </w:tc>
        <w:tc>
          <w:tcPr>
            <w:tcW w:w="10800" w:type="dxa"/>
            <w:vAlign w:val="bottom"/>
          </w:tcPr>
          <w:p w:rsidR="00B3290C" w:rsidRPr="000F20AD" w:rsidRDefault="00B3290C" w:rsidP="0018490E">
            <w:pPr>
              <w:tabs>
                <w:tab w:val="left" w:pos="8640"/>
                <w:tab w:val="right" w:pos="14400"/>
              </w:tabs>
              <w:spacing w:after="0" w:line="240" w:lineRule="auto"/>
              <w:outlineLvl w:val="0"/>
              <w:rPr>
                <w:u w:val="single"/>
              </w:rPr>
            </w:pPr>
            <w:r w:rsidRPr="000F20AD">
              <w:rPr>
                <w:b/>
              </w:rPr>
              <w:t>College Name</w:t>
            </w:r>
            <w:r w:rsidRPr="000F20AD">
              <w:t xml:space="preserve">:  </w:t>
            </w:r>
            <w:r>
              <w:rPr>
                <w:u w:val="single"/>
              </w:rPr>
              <w:t>Grossmont College</w:t>
            </w:r>
          </w:p>
        </w:tc>
      </w:tr>
    </w:tbl>
    <w:p w:rsidR="00B3290C" w:rsidRDefault="00B3290C" w:rsidP="00B3290C">
      <w:pPr>
        <w:spacing w:after="0" w:line="240" w:lineRule="auto"/>
        <w:rPr>
          <w:b/>
        </w:rPr>
      </w:pPr>
    </w:p>
    <w:p w:rsidR="00B3290C" w:rsidRDefault="00B3290C" w:rsidP="00B3290C">
      <w:pPr>
        <w:spacing w:after="0" w:line="240" w:lineRule="auto"/>
        <w:rPr>
          <w:b/>
        </w:rPr>
      </w:pPr>
      <w:r>
        <w:rPr>
          <w:b/>
        </w:rPr>
        <w:t>Insert your 2013-2014 funds allocated to each activity. The sum of the right column should be your total allocation.</w:t>
      </w:r>
    </w:p>
    <w:p w:rsidR="00B3290C" w:rsidRPr="000D4DBD" w:rsidRDefault="00B3290C" w:rsidP="00B3290C">
      <w:pPr>
        <w:spacing w:after="0" w:line="240" w:lineRule="auto"/>
        <w:rPr>
          <w:b/>
        </w:rPr>
      </w:pPr>
    </w:p>
    <w:tbl>
      <w:tblPr>
        <w:tblW w:w="13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1073"/>
        <w:gridCol w:w="1170"/>
        <w:gridCol w:w="2070"/>
        <w:gridCol w:w="4327"/>
        <w:gridCol w:w="1260"/>
      </w:tblGrid>
      <w:tr w:rsidR="00B3290C" w:rsidRPr="00532DE5" w:rsidTr="0018490E">
        <w:trPr>
          <w:jc w:val="center"/>
        </w:trPr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90C" w:rsidRPr="00532DE5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90C" w:rsidRPr="00532DE5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Associated Long-Term Goal ID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90C" w:rsidRPr="00532DE5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532DE5">
              <w:rPr>
                <w:b/>
                <w:sz w:val="20"/>
              </w:rPr>
              <w:t>Target Date for Completion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90C" w:rsidRPr="00532DE5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532DE5">
              <w:rPr>
                <w:b/>
                <w:sz w:val="20"/>
              </w:rPr>
              <w:t>Responsible Person(s)/</w:t>
            </w:r>
            <w:r w:rsidRPr="00532DE5">
              <w:rPr>
                <w:b/>
                <w:sz w:val="20"/>
              </w:rPr>
              <w:br/>
              <w:t>Department(s)</w:t>
            </w:r>
          </w:p>
        </w:tc>
        <w:tc>
          <w:tcPr>
            <w:tcW w:w="4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90C" w:rsidRPr="00532DE5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Measurable Outcome(s)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B3290C" w:rsidRDefault="00B3290C" w:rsidP="0018490E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2013-2014 Funds Allocated to this Activity</w:t>
            </w:r>
          </w:p>
        </w:tc>
      </w:tr>
      <w:tr w:rsidR="00B3290C" w:rsidRPr="00532DE5" w:rsidTr="0018490E">
        <w:trPr>
          <w:trHeight w:val="720"/>
          <w:jc w:val="center"/>
        </w:trPr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3290C" w:rsidRPr="008E2DC3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Support and monitor programs specifically devoted to improving the retention, success, and persistence of historically underrepresented students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B,  C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 2014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 2014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Student Success Committee, </w:t>
            </w:r>
            <w:proofErr w:type="spellStart"/>
            <w:r>
              <w:rPr>
                <w:rFonts w:ascii="Times New Roman" w:hAnsi="Times New Roman"/>
                <w:b/>
              </w:rPr>
              <w:t>Inst’l</w:t>
            </w:r>
            <w:proofErr w:type="spellEnd"/>
            <w:r>
              <w:rPr>
                <w:rFonts w:ascii="Times New Roman" w:hAnsi="Times New Roman"/>
                <w:b/>
              </w:rPr>
              <w:t xml:space="preserve"> Research, </w:t>
            </w:r>
            <w:proofErr w:type="spellStart"/>
            <w:r>
              <w:rPr>
                <w:rFonts w:ascii="Times New Roman" w:hAnsi="Times New Roman"/>
                <w:b/>
              </w:rPr>
              <w:t>Umoja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EOPS coordinators</w:t>
            </w: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Student Success Committee, </w:t>
            </w:r>
            <w:proofErr w:type="spellStart"/>
            <w:r>
              <w:rPr>
                <w:rFonts w:ascii="Times New Roman" w:hAnsi="Times New Roman"/>
                <w:b/>
              </w:rPr>
              <w:t>Inst’l</w:t>
            </w:r>
            <w:proofErr w:type="spellEnd"/>
            <w:r>
              <w:rPr>
                <w:rFonts w:ascii="Times New Roman" w:hAnsi="Times New Roman"/>
                <w:b/>
              </w:rPr>
              <w:t xml:space="preserve"> Research, </w:t>
            </w:r>
            <w:proofErr w:type="spellStart"/>
            <w:r>
              <w:rPr>
                <w:rFonts w:ascii="Times New Roman" w:hAnsi="Times New Roman"/>
                <w:b/>
              </w:rPr>
              <w:t>Umoja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EOPS coordinators</w:t>
            </w: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</w:rPr>
            </w:pPr>
          </w:p>
        </w:tc>
        <w:tc>
          <w:tcPr>
            <w:tcW w:w="4327" w:type="dxa"/>
            <w:tcBorders>
              <w:top w:val="single" w:sz="12" w:space="0" w:color="auto"/>
              <w:bottom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Persistence, success, and retention rates of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Umoja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students will be compared to similar students who did not participate in the programs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Persistence, success, and retention rates of EOPS Summer Institute students will be compared to students who did not participate in the program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Maintain BSI coordinator position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t>99231</w:t>
            </w:r>
          </w:p>
        </w:tc>
      </w:tr>
      <w:tr w:rsidR="00B3290C" w:rsidRPr="00532DE5" w:rsidTr="0018490E">
        <w:trPr>
          <w:trHeight w:val="720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290C" w:rsidRPr="001F60E2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Provide professional development opportunities that will contribute to ongoing efforts to increase student success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Pr="006E6F5A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B, C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 2014</w:t>
            </w: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 2014</w:t>
            </w:r>
          </w:p>
          <w:p w:rsidR="00B3290C" w:rsidRPr="006E6F5A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Project Success Coordinator, Freshman Academy Coordinators</w:t>
            </w: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Pr="006E6F5A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 Success Committee, Professional Development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Committee</w:t>
            </w:r>
          </w:p>
        </w:tc>
        <w:tc>
          <w:tcPr>
            <w:tcW w:w="4327" w:type="dxa"/>
            <w:tcBorders>
              <w:top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More contextualized integrated assignments will be created in all Freshman Academy and Project Success learning communities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7C4E54">
              <w:rPr>
                <w:rFonts w:ascii="Times New Roman" w:hAnsi="Times New Roman"/>
                <w:b/>
                <w:sz w:val="24"/>
                <w:szCs w:val="24"/>
              </w:rPr>
              <w:t>ocused professional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velopment opportunities will be sought out and provided to addre</w:t>
            </w:r>
            <w:r w:rsidRPr="007C4E54">
              <w:rPr>
                <w:rFonts w:ascii="Times New Roman" w:hAnsi="Times New Roman"/>
                <w:b/>
                <w:sz w:val="24"/>
                <w:szCs w:val="24"/>
              </w:rPr>
              <w:t xml:space="preserve">ss pedagogical issues/strategies needed to address </w:t>
            </w:r>
            <w:r w:rsidRPr="007C4E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equity gaps</w:t>
            </w:r>
          </w:p>
          <w:p w:rsidR="00B3290C" w:rsidRPr="006E6F5A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lastRenderedPageBreak/>
              <w:t>20000</w:t>
            </w:r>
          </w:p>
        </w:tc>
      </w:tr>
      <w:tr w:rsidR="00B3290C" w:rsidRPr="00532DE5" w:rsidTr="0018490E">
        <w:trPr>
          <w:trHeight w:val="720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290C" w:rsidRPr="003B546A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 w:rsidRPr="008E2DC3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lastRenderedPageBreak/>
              <w:t>Gather and utilize disaggregated data to monitor success, retention, and persistence for historically underrepresented populations enrolled in developmental course sequences</w:t>
            </w:r>
          </w:p>
        </w:tc>
        <w:tc>
          <w:tcPr>
            <w:tcW w:w="1073" w:type="dxa"/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Pr="00721945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 2014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Pr="00721945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 2014</w:t>
            </w:r>
          </w:p>
        </w:tc>
        <w:tc>
          <w:tcPr>
            <w:tcW w:w="2070" w:type="dxa"/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Success Committee members, Research Liaison</w:t>
            </w: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Pr="00721945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Success Committee</w:t>
            </w:r>
          </w:p>
        </w:tc>
        <w:tc>
          <w:tcPr>
            <w:tcW w:w="4327" w:type="dxa"/>
          </w:tcPr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Multiple cohort data from Math, English, and ESL developmental cohorts will be analyzed</w:t>
            </w: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will be disseminated to campus community via FIGs, Annual Planning Forum, and quarterly data newsletter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Pr="00FA2770" w:rsidRDefault="00B3290C" w:rsidP="0018490E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7C4E54">
              <w:rPr>
                <w:rFonts w:ascii="Times New Roman" w:hAnsi="Times New Roman"/>
                <w:b/>
                <w:sz w:val="24"/>
                <w:szCs w:val="24"/>
              </w:rPr>
              <w:t xml:space="preserve">ualitative data by way of student surveys and focus groups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will be gathered </w:t>
            </w:r>
            <w:r w:rsidRPr="007C4E54">
              <w:rPr>
                <w:rFonts w:ascii="Times New Roman" w:hAnsi="Times New Roman"/>
                <w:b/>
                <w:sz w:val="24"/>
                <w:szCs w:val="24"/>
              </w:rPr>
              <w:t>to supplement quantitative information in order to identify and address student perspectives on how to improve success, retention, and persistence</w:t>
            </w:r>
            <w:r w:rsidRPr="00EF32EA">
              <w:rPr>
                <w:b/>
                <w:color w:val="2A2A2A"/>
              </w:rPr>
              <w:t>.</w:t>
            </w:r>
          </w:p>
        </w:tc>
        <w:tc>
          <w:tcPr>
            <w:tcW w:w="1260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3290C" w:rsidRPr="00532DE5" w:rsidTr="0018490E">
        <w:trPr>
          <w:trHeight w:val="720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290C" w:rsidRPr="00EC6768" w:rsidRDefault="00B3290C" w:rsidP="0018490E">
            <w:pPr>
              <w:rPr>
                <w:rFonts w:ascii="Times New Roman" w:hAnsi="Times New Roman"/>
                <w:b/>
                <w:color w:val="2A2A2A"/>
                <w:sz w:val="24"/>
                <w:szCs w:val="24"/>
              </w:rPr>
            </w:pPr>
            <w:r w:rsidRPr="00EC6768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 xml:space="preserve">Continue to support </w:t>
            </w:r>
            <w:r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 xml:space="preserve">and enhance </w:t>
            </w:r>
            <w:r w:rsidRPr="00EC6768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>existing learning communities, as well as increase the existence of, and access to, more learning communities</w:t>
            </w:r>
          </w:p>
          <w:p w:rsidR="00B3290C" w:rsidRPr="00EC6768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Pr="00EC6768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 2014</w:t>
            </w: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 2014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 2014</w:t>
            </w:r>
          </w:p>
          <w:p w:rsidR="00B3290C" w:rsidRPr="00EC6768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3290C" w:rsidRPr="003B546A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Freshman Academy Coordinators, Project Success Coordinator</w:t>
            </w:r>
          </w:p>
        </w:tc>
        <w:tc>
          <w:tcPr>
            <w:tcW w:w="4327" w:type="dxa"/>
          </w:tcPr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Freshman Academy and Project Success learning communities (24 total communities) will be delivered as planned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Expansion planning of Freshman Academy for Spring 2014 and beyond will be completed</w:t>
            </w:r>
          </w:p>
          <w:p w:rsidR="00B3290C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Pr="00EC6768" w:rsidRDefault="00B3290C" w:rsidP="0018490E">
            <w:pPr>
              <w:spacing w:after="0" w:line="240" w:lineRule="auto"/>
              <w:ind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More contextualized integrated assignments will be created in all Freshman Academy learning communities </w:t>
            </w:r>
          </w:p>
        </w:tc>
        <w:tc>
          <w:tcPr>
            <w:tcW w:w="1260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B3290C" w:rsidRPr="00532DE5" w:rsidTr="0018490E">
        <w:trPr>
          <w:trHeight w:val="720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color w:val="2A2A2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lastRenderedPageBreak/>
              <w:t xml:space="preserve">Pilot new assessment tool, validate assessment scoring, and fully implement new assessment tool.  </w:t>
            </w: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color w:val="2A2A2A"/>
                <w:sz w:val="24"/>
                <w:szCs w:val="24"/>
              </w:rPr>
            </w:pPr>
          </w:p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 xml:space="preserve">Provide pre-assessment </w:t>
            </w:r>
            <w:proofErr w:type="spellStart"/>
            <w:r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>bootcamps</w:t>
            </w:r>
            <w:proofErr w:type="spellEnd"/>
            <w:r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 xml:space="preserve"> for students on-campus and in feeder high schools</w:t>
            </w:r>
          </w:p>
        </w:tc>
        <w:tc>
          <w:tcPr>
            <w:tcW w:w="1073" w:type="dxa"/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A</w:t>
            </w:r>
          </w:p>
        </w:tc>
        <w:tc>
          <w:tcPr>
            <w:tcW w:w="1170" w:type="dxa"/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Pr="00532DE5" w:rsidRDefault="00B3290C" w:rsidP="0018490E">
            <w:pPr>
              <w:spacing w:after="0" w:line="240" w:lineRule="auto"/>
              <w:ind w:right="115"/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 2014</w:t>
            </w:r>
          </w:p>
        </w:tc>
        <w:tc>
          <w:tcPr>
            <w:tcW w:w="2070" w:type="dxa"/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Pr="00532DE5" w:rsidRDefault="00B3290C" w:rsidP="0018490E">
            <w:pPr>
              <w:spacing w:after="0" w:line="240" w:lineRule="auto"/>
              <w:ind w:right="115"/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 and English departments, Institutional Research, Student Services</w:t>
            </w:r>
          </w:p>
        </w:tc>
        <w:tc>
          <w:tcPr>
            <w:tcW w:w="4327" w:type="dxa"/>
          </w:tcPr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Compare placement rates and success rates under the former system to placement rates and success rates under the new system (new assessment tool)</w:t>
            </w:r>
          </w:p>
        </w:tc>
        <w:tc>
          <w:tcPr>
            <w:tcW w:w="1260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B3290C" w:rsidRPr="00532DE5" w:rsidTr="0018490E">
        <w:trPr>
          <w:trHeight w:val="548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</w:tc>
        <w:tc>
          <w:tcPr>
            <w:tcW w:w="1073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</w:tc>
        <w:tc>
          <w:tcPr>
            <w:tcW w:w="1170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</w:tc>
        <w:tc>
          <w:tcPr>
            <w:tcW w:w="2070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</w:p>
        </w:tc>
        <w:tc>
          <w:tcPr>
            <w:tcW w:w="4327" w:type="dxa"/>
          </w:tcPr>
          <w:p w:rsidR="00B3290C" w:rsidRPr="00532DE5" w:rsidRDefault="00B3290C" w:rsidP="0018490E">
            <w:pPr>
              <w:spacing w:before="120" w:after="120" w:line="240" w:lineRule="auto"/>
              <w:ind w:left="115" w:right="115"/>
              <w:jc w:val="right"/>
              <w:rPr>
                <w:sz w:val="20"/>
              </w:rPr>
            </w:pPr>
            <w:r w:rsidRPr="001055AC">
              <w:rPr>
                <w:b/>
                <w:sz w:val="20"/>
              </w:rPr>
              <w:t>TOTAL ALLOCATION:</w:t>
            </w:r>
          </w:p>
        </w:tc>
        <w:tc>
          <w:tcPr>
            <w:tcW w:w="1260" w:type="dxa"/>
          </w:tcPr>
          <w:p w:rsidR="00B3290C" w:rsidRPr="00532DE5" w:rsidRDefault="00B3290C" w:rsidP="0018490E">
            <w:pPr>
              <w:spacing w:after="0" w:line="240" w:lineRule="auto"/>
              <w:ind w:left="115" w:right="115"/>
              <w:rPr>
                <w:sz w:val="20"/>
              </w:rPr>
            </w:pPr>
            <w:r>
              <w:rPr>
                <w:sz w:val="20"/>
              </w:rPr>
              <w:t>139231</w:t>
            </w:r>
          </w:p>
        </w:tc>
      </w:tr>
    </w:tbl>
    <w:p w:rsidR="00B3290C" w:rsidRPr="00501324" w:rsidRDefault="00B3290C" w:rsidP="00B3290C">
      <w:pPr>
        <w:tabs>
          <w:tab w:val="right" w:pos="7920"/>
          <w:tab w:val="left" w:pos="10800"/>
          <w:tab w:val="right" w:pos="14400"/>
        </w:tabs>
        <w:spacing w:after="0" w:line="240" w:lineRule="auto"/>
        <w:rPr>
          <w:u w:val="single"/>
        </w:rPr>
      </w:pPr>
    </w:p>
    <w:p w:rsidR="00164FBF" w:rsidRDefault="00164FBF">
      <w:bookmarkStart w:id="0" w:name="_GoBack"/>
      <w:bookmarkEnd w:id="0"/>
    </w:p>
    <w:sectPr w:rsidR="00164FBF" w:rsidSect="00B329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A1" w:rsidRDefault="00B3290C" w:rsidP="00700D11">
    <w:pPr>
      <w:pStyle w:val="Footer"/>
      <w:tabs>
        <w:tab w:val="clear" w:pos="4680"/>
        <w:tab w:val="clear" w:pos="9360"/>
        <w:tab w:val="left" w:pos="0"/>
        <w:tab w:val="right" w:pos="14400"/>
      </w:tabs>
      <w:rPr>
        <w:color w:val="808080" w:themeColor="background1" w:themeShade="80"/>
        <w:sz w:val="18"/>
        <w:szCs w:val="18"/>
      </w:rPr>
    </w:pPr>
    <w:r>
      <w:rPr>
        <w:rStyle w:val="PageNumber"/>
        <w:i/>
        <w:u w:val="single"/>
      </w:rPr>
      <w:tab/>
      <w:t>_____________________</w:t>
    </w:r>
  </w:p>
  <w:p w:rsidR="004805A1" w:rsidRDefault="00B3290C" w:rsidP="00700D11">
    <w:pPr>
      <w:pStyle w:val="Footer"/>
      <w:tabs>
        <w:tab w:val="clear" w:pos="4680"/>
        <w:tab w:val="clear" w:pos="9360"/>
        <w:tab w:val="right" w:pos="14400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2012-13 ESL/Basic Skills Allocation End-of-Year Report</w:t>
    </w:r>
    <w:r w:rsidRPr="00B31664"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 xml:space="preserve">Page </w:t>
    </w: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PAGE   \* MERGEFORMAT </w:instrText>
    </w:r>
    <w:r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1</w:t>
    </w:r>
    <w:r>
      <w:rPr>
        <w:color w:val="808080" w:themeColor="background1" w:themeShade="80"/>
        <w:sz w:val="18"/>
        <w:szCs w:val="18"/>
      </w:rPr>
      <w:fldChar w:fldCharType="end"/>
    </w:r>
  </w:p>
  <w:p w:rsidR="004805A1" w:rsidRPr="00700D11" w:rsidRDefault="00B3290C" w:rsidP="00700D11">
    <w:pPr>
      <w:pStyle w:val="Footer"/>
      <w:tabs>
        <w:tab w:val="clear" w:pos="4680"/>
        <w:tab w:val="clear" w:pos="9360"/>
        <w:tab w:val="left" w:pos="0"/>
        <w:tab w:val="right" w:pos="10800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2013-14 ESL/Basic Skills</w:t>
    </w:r>
    <w:r>
      <w:rPr>
        <w:color w:val="808080" w:themeColor="background1" w:themeShade="80"/>
        <w:sz w:val="18"/>
        <w:szCs w:val="18"/>
      </w:rPr>
      <w:t xml:space="preserve"> Allocation Goals/Action Plan and Expenditure Plan</w:t>
    </w:r>
    <w:r w:rsidRPr="00B31664">
      <w:rPr>
        <w:color w:val="808080" w:themeColor="background1" w:themeShade="80"/>
        <w:sz w:val="18"/>
        <w:szCs w:val="18"/>
      </w:rPr>
      <w:tab/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7A" w:rsidRDefault="00B32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7A" w:rsidRDefault="00B32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7A" w:rsidRDefault="00B3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C"/>
    <w:rsid w:val="00002106"/>
    <w:rsid w:val="00014598"/>
    <w:rsid w:val="0001508F"/>
    <w:rsid w:val="000203C5"/>
    <w:rsid w:val="00021343"/>
    <w:rsid w:val="00023BE5"/>
    <w:rsid w:val="000326AE"/>
    <w:rsid w:val="00032BD0"/>
    <w:rsid w:val="00034F11"/>
    <w:rsid w:val="000352C3"/>
    <w:rsid w:val="000461CC"/>
    <w:rsid w:val="000524BD"/>
    <w:rsid w:val="00052711"/>
    <w:rsid w:val="0005404A"/>
    <w:rsid w:val="000566C6"/>
    <w:rsid w:val="00064182"/>
    <w:rsid w:val="000719D4"/>
    <w:rsid w:val="00073570"/>
    <w:rsid w:val="00073930"/>
    <w:rsid w:val="000840D2"/>
    <w:rsid w:val="00084734"/>
    <w:rsid w:val="000955A6"/>
    <w:rsid w:val="000A4C10"/>
    <w:rsid w:val="000B11D0"/>
    <w:rsid w:val="000B71E6"/>
    <w:rsid w:val="000C7712"/>
    <w:rsid w:val="000C77F2"/>
    <w:rsid w:val="000D56D7"/>
    <w:rsid w:val="000E2368"/>
    <w:rsid w:val="000E6515"/>
    <w:rsid w:val="00100D60"/>
    <w:rsid w:val="001019FE"/>
    <w:rsid w:val="001045D3"/>
    <w:rsid w:val="00115E4D"/>
    <w:rsid w:val="00115EC2"/>
    <w:rsid w:val="00117F39"/>
    <w:rsid w:val="00121E69"/>
    <w:rsid w:val="00161BDC"/>
    <w:rsid w:val="00163EB1"/>
    <w:rsid w:val="00164FBF"/>
    <w:rsid w:val="001711F9"/>
    <w:rsid w:val="001718D3"/>
    <w:rsid w:val="00174BBF"/>
    <w:rsid w:val="00180803"/>
    <w:rsid w:val="00190036"/>
    <w:rsid w:val="00191B86"/>
    <w:rsid w:val="001A4DA3"/>
    <w:rsid w:val="001C062B"/>
    <w:rsid w:val="001C320C"/>
    <w:rsid w:val="001D2B0D"/>
    <w:rsid w:val="001E0013"/>
    <w:rsid w:val="001E1CB7"/>
    <w:rsid w:val="001E4EE6"/>
    <w:rsid w:val="001E79F4"/>
    <w:rsid w:val="001F0784"/>
    <w:rsid w:val="001F585E"/>
    <w:rsid w:val="001F6882"/>
    <w:rsid w:val="001F797D"/>
    <w:rsid w:val="00210560"/>
    <w:rsid w:val="00214844"/>
    <w:rsid w:val="002152AA"/>
    <w:rsid w:val="00222B92"/>
    <w:rsid w:val="00233DFF"/>
    <w:rsid w:val="00234ECA"/>
    <w:rsid w:val="002358B5"/>
    <w:rsid w:val="00237238"/>
    <w:rsid w:val="00241D30"/>
    <w:rsid w:val="0025282F"/>
    <w:rsid w:val="0025465E"/>
    <w:rsid w:val="00254BFD"/>
    <w:rsid w:val="002627C1"/>
    <w:rsid w:val="00264A9D"/>
    <w:rsid w:val="002664CB"/>
    <w:rsid w:val="00274824"/>
    <w:rsid w:val="00283377"/>
    <w:rsid w:val="002843FB"/>
    <w:rsid w:val="002956DA"/>
    <w:rsid w:val="00297450"/>
    <w:rsid w:val="002B420C"/>
    <w:rsid w:val="002C7A41"/>
    <w:rsid w:val="002E781F"/>
    <w:rsid w:val="002F4E43"/>
    <w:rsid w:val="002F5591"/>
    <w:rsid w:val="0030023B"/>
    <w:rsid w:val="0030651D"/>
    <w:rsid w:val="00314157"/>
    <w:rsid w:val="00320146"/>
    <w:rsid w:val="00324A27"/>
    <w:rsid w:val="00342349"/>
    <w:rsid w:val="00344E5D"/>
    <w:rsid w:val="0035159F"/>
    <w:rsid w:val="00366C99"/>
    <w:rsid w:val="003676D4"/>
    <w:rsid w:val="00376645"/>
    <w:rsid w:val="003772A0"/>
    <w:rsid w:val="00380A3B"/>
    <w:rsid w:val="003865DB"/>
    <w:rsid w:val="003A5270"/>
    <w:rsid w:val="003A6A4D"/>
    <w:rsid w:val="003C22B7"/>
    <w:rsid w:val="003C7E32"/>
    <w:rsid w:val="003E06FB"/>
    <w:rsid w:val="003E5996"/>
    <w:rsid w:val="003F6FCE"/>
    <w:rsid w:val="00401B34"/>
    <w:rsid w:val="00406C10"/>
    <w:rsid w:val="00406C35"/>
    <w:rsid w:val="004102D4"/>
    <w:rsid w:val="00426C78"/>
    <w:rsid w:val="00437931"/>
    <w:rsid w:val="004409D7"/>
    <w:rsid w:val="00444C58"/>
    <w:rsid w:val="0045346D"/>
    <w:rsid w:val="00457A8F"/>
    <w:rsid w:val="0046409F"/>
    <w:rsid w:val="004800CB"/>
    <w:rsid w:val="00491DFD"/>
    <w:rsid w:val="004A108F"/>
    <w:rsid w:val="004B2A6C"/>
    <w:rsid w:val="004B4FCA"/>
    <w:rsid w:val="004B6F99"/>
    <w:rsid w:val="004C3E0F"/>
    <w:rsid w:val="004D09C9"/>
    <w:rsid w:val="004E05EB"/>
    <w:rsid w:val="004F3747"/>
    <w:rsid w:val="004F4929"/>
    <w:rsid w:val="0051292E"/>
    <w:rsid w:val="00514EB5"/>
    <w:rsid w:val="0051644D"/>
    <w:rsid w:val="00526038"/>
    <w:rsid w:val="00530AD7"/>
    <w:rsid w:val="00533BB6"/>
    <w:rsid w:val="00533D56"/>
    <w:rsid w:val="005355EB"/>
    <w:rsid w:val="0054009E"/>
    <w:rsid w:val="00543D62"/>
    <w:rsid w:val="005454D3"/>
    <w:rsid w:val="00546FFF"/>
    <w:rsid w:val="00556802"/>
    <w:rsid w:val="0056028A"/>
    <w:rsid w:val="0056082C"/>
    <w:rsid w:val="00571A36"/>
    <w:rsid w:val="00575A82"/>
    <w:rsid w:val="005760D9"/>
    <w:rsid w:val="00576718"/>
    <w:rsid w:val="00577725"/>
    <w:rsid w:val="00582B26"/>
    <w:rsid w:val="005A7C73"/>
    <w:rsid w:val="005B2C2E"/>
    <w:rsid w:val="005B2E46"/>
    <w:rsid w:val="005B2EF2"/>
    <w:rsid w:val="005B39B7"/>
    <w:rsid w:val="005C4DFC"/>
    <w:rsid w:val="005C533E"/>
    <w:rsid w:val="005D3C26"/>
    <w:rsid w:val="005E2B44"/>
    <w:rsid w:val="005F12E9"/>
    <w:rsid w:val="005F7F2F"/>
    <w:rsid w:val="00606AF4"/>
    <w:rsid w:val="0064438F"/>
    <w:rsid w:val="00645161"/>
    <w:rsid w:val="00645365"/>
    <w:rsid w:val="00646E55"/>
    <w:rsid w:val="00654757"/>
    <w:rsid w:val="00665E55"/>
    <w:rsid w:val="0069042D"/>
    <w:rsid w:val="00697590"/>
    <w:rsid w:val="006A034D"/>
    <w:rsid w:val="006A1FC3"/>
    <w:rsid w:val="006B4800"/>
    <w:rsid w:val="006B5A3F"/>
    <w:rsid w:val="006C1F1A"/>
    <w:rsid w:val="006D22BF"/>
    <w:rsid w:val="006D4D8D"/>
    <w:rsid w:val="006D7B30"/>
    <w:rsid w:val="006E19C7"/>
    <w:rsid w:val="006F512A"/>
    <w:rsid w:val="007078D5"/>
    <w:rsid w:val="007118E6"/>
    <w:rsid w:val="007138BA"/>
    <w:rsid w:val="00713E87"/>
    <w:rsid w:val="00720B8F"/>
    <w:rsid w:val="00722FDD"/>
    <w:rsid w:val="00726C70"/>
    <w:rsid w:val="007306A9"/>
    <w:rsid w:val="00737392"/>
    <w:rsid w:val="007373F7"/>
    <w:rsid w:val="00752D50"/>
    <w:rsid w:val="00753763"/>
    <w:rsid w:val="007537D2"/>
    <w:rsid w:val="00756358"/>
    <w:rsid w:val="00760CFC"/>
    <w:rsid w:val="00764FF5"/>
    <w:rsid w:val="00765D97"/>
    <w:rsid w:val="00767E29"/>
    <w:rsid w:val="00791BBC"/>
    <w:rsid w:val="00795AFB"/>
    <w:rsid w:val="00797B37"/>
    <w:rsid w:val="007B5174"/>
    <w:rsid w:val="007B53E6"/>
    <w:rsid w:val="007B57C2"/>
    <w:rsid w:val="007C0A1E"/>
    <w:rsid w:val="007C4C4C"/>
    <w:rsid w:val="007C6E3C"/>
    <w:rsid w:val="007D2EB8"/>
    <w:rsid w:val="007E0AEE"/>
    <w:rsid w:val="007F15E7"/>
    <w:rsid w:val="007F452B"/>
    <w:rsid w:val="007F6601"/>
    <w:rsid w:val="007F68A5"/>
    <w:rsid w:val="00803045"/>
    <w:rsid w:val="00821788"/>
    <w:rsid w:val="008236F5"/>
    <w:rsid w:val="0084208F"/>
    <w:rsid w:val="00863923"/>
    <w:rsid w:val="00864B3A"/>
    <w:rsid w:val="008723D3"/>
    <w:rsid w:val="0088669B"/>
    <w:rsid w:val="00895941"/>
    <w:rsid w:val="008A6C46"/>
    <w:rsid w:val="008A7A6F"/>
    <w:rsid w:val="008D0996"/>
    <w:rsid w:val="008D407A"/>
    <w:rsid w:val="008D7095"/>
    <w:rsid w:val="008E1188"/>
    <w:rsid w:val="008E6521"/>
    <w:rsid w:val="008F5A9D"/>
    <w:rsid w:val="008F6536"/>
    <w:rsid w:val="00900973"/>
    <w:rsid w:val="00912CFB"/>
    <w:rsid w:val="00916628"/>
    <w:rsid w:val="00921BA9"/>
    <w:rsid w:val="00921CEE"/>
    <w:rsid w:val="0092380A"/>
    <w:rsid w:val="00927D08"/>
    <w:rsid w:val="009366CE"/>
    <w:rsid w:val="009367C0"/>
    <w:rsid w:val="009419A6"/>
    <w:rsid w:val="00945AC4"/>
    <w:rsid w:val="00952F58"/>
    <w:rsid w:val="00954B79"/>
    <w:rsid w:val="00957D68"/>
    <w:rsid w:val="009610E0"/>
    <w:rsid w:val="00970B18"/>
    <w:rsid w:val="009711DB"/>
    <w:rsid w:val="009747BF"/>
    <w:rsid w:val="00993FD2"/>
    <w:rsid w:val="00995C53"/>
    <w:rsid w:val="009A651E"/>
    <w:rsid w:val="009B566C"/>
    <w:rsid w:val="009B7CB5"/>
    <w:rsid w:val="009C0945"/>
    <w:rsid w:val="009C3580"/>
    <w:rsid w:val="009C3EF9"/>
    <w:rsid w:val="009D0679"/>
    <w:rsid w:val="009E5B2C"/>
    <w:rsid w:val="009E5C24"/>
    <w:rsid w:val="009F4BCE"/>
    <w:rsid w:val="009F69E6"/>
    <w:rsid w:val="00A22F1D"/>
    <w:rsid w:val="00A27256"/>
    <w:rsid w:val="00A37DC8"/>
    <w:rsid w:val="00A37F01"/>
    <w:rsid w:val="00A40DBE"/>
    <w:rsid w:val="00A45CBB"/>
    <w:rsid w:val="00A56751"/>
    <w:rsid w:val="00A60758"/>
    <w:rsid w:val="00A63F4A"/>
    <w:rsid w:val="00A650B4"/>
    <w:rsid w:val="00A66ED8"/>
    <w:rsid w:val="00A70467"/>
    <w:rsid w:val="00A7058C"/>
    <w:rsid w:val="00A74C67"/>
    <w:rsid w:val="00A85B2D"/>
    <w:rsid w:val="00A87DA0"/>
    <w:rsid w:val="00A91001"/>
    <w:rsid w:val="00A966B7"/>
    <w:rsid w:val="00AA061B"/>
    <w:rsid w:val="00AA1D13"/>
    <w:rsid w:val="00AA37E5"/>
    <w:rsid w:val="00AA5BE1"/>
    <w:rsid w:val="00AC58B9"/>
    <w:rsid w:val="00AD327E"/>
    <w:rsid w:val="00AE4885"/>
    <w:rsid w:val="00AE5F2E"/>
    <w:rsid w:val="00AE6F04"/>
    <w:rsid w:val="00AF17DC"/>
    <w:rsid w:val="00AF3F9A"/>
    <w:rsid w:val="00AF6455"/>
    <w:rsid w:val="00B041F7"/>
    <w:rsid w:val="00B1122C"/>
    <w:rsid w:val="00B11389"/>
    <w:rsid w:val="00B15CA0"/>
    <w:rsid w:val="00B2002B"/>
    <w:rsid w:val="00B3290C"/>
    <w:rsid w:val="00B32AD1"/>
    <w:rsid w:val="00B33CE2"/>
    <w:rsid w:val="00B510CD"/>
    <w:rsid w:val="00B561F5"/>
    <w:rsid w:val="00B8252A"/>
    <w:rsid w:val="00BB5493"/>
    <w:rsid w:val="00BD0492"/>
    <w:rsid w:val="00BD3B10"/>
    <w:rsid w:val="00BD3C42"/>
    <w:rsid w:val="00BE5EEF"/>
    <w:rsid w:val="00BE6F60"/>
    <w:rsid w:val="00BE6FFD"/>
    <w:rsid w:val="00BF0C91"/>
    <w:rsid w:val="00BF1827"/>
    <w:rsid w:val="00BF203A"/>
    <w:rsid w:val="00C0769A"/>
    <w:rsid w:val="00C16222"/>
    <w:rsid w:val="00C165E2"/>
    <w:rsid w:val="00C20C80"/>
    <w:rsid w:val="00C345C5"/>
    <w:rsid w:val="00C41B72"/>
    <w:rsid w:val="00C605C8"/>
    <w:rsid w:val="00C60DD6"/>
    <w:rsid w:val="00C74281"/>
    <w:rsid w:val="00C76EF7"/>
    <w:rsid w:val="00C83551"/>
    <w:rsid w:val="00CA504D"/>
    <w:rsid w:val="00CB7AAE"/>
    <w:rsid w:val="00CC1A3C"/>
    <w:rsid w:val="00CC2F35"/>
    <w:rsid w:val="00CC5A64"/>
    <w:rsid w:val="00CC64B4"/>
    <w:rsid w:val="00CE12FE"/>
    <w:rsid w:val="00CE5943"/>
    <w:rsid w:val="00CE68F8"/>
    <w:rsid w:val="00CF0BEB"/>
    <w:rsid w:val="00CF166D"/>
    <w:rsid w:val="00D03740"/>
    <w:rsid w:val="00D04C08"/>
    <w:rsid w:val="00D131C4"/>
    <w:rsid w:val="00D25B20"/>
    <w:rsid w:val="00D25F1D"/>
    <w:rsid w:val="00D2783C"/>
    <w:rsid w:val="00D27BD5"/>
    <w:rsid w:val="00D301C6"/>
    <w:rsid w:val="00D32A56"/>
    <w:rsid w:val="00D41538"/>
    <w:rsid w:val="00D4649B"/>
    <w:rsid w:val="00D559A5"/>
    <w:rsid w:val="00D63D25"/>
    <w:rsid w:val="00D70AB1"/>
    <w:rsid w:val="00D70F88"/>
    <w:rsid w:val="00D813CA"/>
    <w:rsid w:val="00D848A8"/>
    <w:rsid w:val="00D87DB8"/>
    <w:rsid w:val="00D87DF8"/>
    <w:rsid w:val="00D97767"/>
    <w:rsid w:val="00DA64EF"/>
    <w:rsid w:val="00DB0AB1"/>
    <w:rsid w:val="00DB2EE6"/>
    <w:rsid w:val="00DB3877"/>
    <w:rsid w:val="00DB3B69"/>
    <w:rsid w:val="00DD1171"/>
    <w:rsid w:val="00DD671A"/>
    <w:rsid w:val="00DF01C8"/>
    <w:rsid w:val="00DF451B"/>
    <w:rsid w:val="00DF4A23"/>
    <w:rsid w:val="00DF6988"/>
    <w:rsid w:val="00E00640"/>
    <w:rsid w:val="00E02751"/>
    <w:rsid w:val="00E05103"/>
    <w:rsid w:val="00E05478"/>
    <w:rsid w:val="00E06298"/>
    <w:rsid w:val="00E079B6"/>
    <w:rsid w:val="00E16E78"/>
    <w:rsid w:val="00E278E8"/>
    <w:rsid w:val="00E31C83"/>
    <w:rsid w:val="00E474ED"/>
    <w:rsid w:val="00E5294C"/>
    <w:rsid w:val="00E57480"/>
    <w:rsid w:val="00E60AF5"/>
    <w:rsid w:val="00E640EA"/>
    <w:rsid w:val="00E81F3A"/>
    <w:rsid w:val="00E833DE"/>
    <w:rsid w:val="00E85A35"/>
    <w:rsid w:val="00E907FE"/>
    <w:rsid w:val="00E971C4"/>
    <w:rsid w:val="00E973D5"/>
    <w:rsid w:val="00EB1C34"/>
    <w:rsid w:val="00EC0A2F"/>
    <w:rsid w:val="00EC0F67"/>
    <w:rsid w:val="00EC1A62"/>
    <w:rsid w:val="00ED0EBD"/>
    <w:rsid w:val="00ED23B3"/>
    <w:rsid w:val="00EE05B6"/>
    <w:rsid w:val="00EF1E6A"/>
    <w:rsid w:val="00EF644D"/>
    <w:rsid w:val="00EF7AE1"/>
    <w:rsid w:val="00F154CC"/>
    <w:rsid w:val="00F169CD"/>
    <w:rsid w:val="00F228EA"/>
    <w:rsid w:val="00F321F5"/>
    <w:rsid w:val="00F412B3"/>
    <w:rsid w:val="00F427CC"/>
    <w:rsid w:val="00F437BF"/>
    <w:rsid w:val="00F51BAE"/>
    <w:rsid w:val="00F52961"/>
    <w:rsid w:val="00F563D2"/>
    <w:rsid w:val="00F726EE"/>
    <w:rsid w:val="00F801A6"/>
    <w:rsid w:val="00F85CD6"/>
    <w:rsid w:val="00F86F8B"/>
    <w:rsid w:val="00F9611E"/>
    <w:rsid w:val="00FA4A00"/>
    <w:rsid w:val="00FC212E"/>
    <w:rsid w:val="00FD238D"/>
    <w:rsid w:val="00FE5843"/>
    <w:rsid w:val="00FE6CBC"/>
    <w:rsid w:val="00FE7FB9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90C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0C"/>
    <w:rPr>
      <w:rFonts w:eastAsiaTheme="minorEastAsia"/>
    </w:rPr>
  </w:style>
  <w:style w:type="character" w:styleId="PageNumber">
    <w:name w:val="page number"/>
    <w:basedOn w:val="DefaultParagraphFont"/>
    <w:semiHidden/>
    <w:rsid w:val="00B3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90C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0C"/>
    <w:rPr>
      <w:rFonts w:eastAsiaTheme="minorEastAsia"/>
    </w:rPr>
  </w:style>
  <w:style w:type="character" w:styleId="PageNumber">
    <w:name w:val="page number"/>
    <w:basedOn w:val="DefaultParagraphFont"/>
    <w:semiHidden/>
    <w:rsid w:val="00B3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Manchester</dc:creator>
  <cp:lastModifiedBy>C. Manchester</cp:lastModifiedBy>
  <cp:revision>1</cp:revision>
  <dcterms:created xsi:type="dcterms:W3CDTF">2014-09-02T22:20:00Z</dcterms:created>
  <dcterms:modified xsi:type="dcterms:W3CDTF">2014-09-02T22:21:00Z</dcterms:modified>
</cp:coreProperties>
</file>